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jc w:val="center"/>
        <w:rPr>
          <w:rFonts w:hint="eastAsia" w:ascii="宋体" w:hAnsi="宋体" w:cs="宋体"/>
          <w:b/>
          <w:kern w:val="0"/>
          <w:sz w:val="30"/>
          <w:szCs w:val="30"/>
        </w:rPr>
      </w:pPr>
      <w:r>
        <w:rPr>
          <w:rFonts w:hint="eastAsia" w:ascii="宋体" w:hAnsi="宋体" w:cs="宋体"/>
          <w:b/>
          <w:kern w:val="0"/>
          <w:sz w:val="30"/>
          <w:szCs w:val="30"/>
        </w:rPr>
        <w:t>青岛理工大学商学院简介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青岛理工大学商学院的前身为原青岛建筑工程学院管理工程系，创立于1984年，为我校创立最早的院部之一，迄今为止已有30余年的</w:t>
      </w:r>
      <w:bookmarkStart w:id="0" w:name="_GoBack"/>
      <w:bookmarkEnd w:id="0"/>
      <w:r>
        <w:rPr>
          <w:rFonts w:hint="eastAsia" w:ascii="宋体" w:hAnsi="宋体" w:cs="宋体"/>
          <w:kern w:val="0"/>
          <w:sz w:val="24"/>
        </w:rPr>
        <w:t>历史。1995年，青岛建筑工程学院与青岛冶金矿山大学合并；1999年两校区的经济管理学科合并成立管理系，下设建筑管理、会计学、统计学专业；2000年因学科调整需要，分为财经系(专业：会计学、统计学)、管理系(专业：工程管理、工业工程)；2001年学校进行二级学院试点，财经系更名为商学院；</w:t>
      </w:r>
      <w:r>
        <w:rPr>
          <w:rFonts w:ascii="宋体" w:hAnsi="宋体" w:cs="宋体"/>
          <w:kern w:val="0"/>
          <w:sz w:val="24"/>
        </w:rPr>
        <w:t> </w:t>
      </w:r>
      <w:r>
        <w:rPr>
          <w:rFonts w:hint="eastAsia" w:ascii="宋体" w:hAnsi="宋体" w:cs="宋体"/>
          <w:kern w:val="0"/>
          <w:sz w:val="24"/>
        </w:rPr>
        <w:t xml:space="preserve">2002年因学校学科调整分为：商学院(专业：会计学、财务管理、市场营销)、经贸系(专业：统计学、国际经济与贸易)；2004年专业调整，电子商务专业划入商学院。 </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学院以工商管理学科为主，拥有会计学、市场营销、财务管理、电子商务、国际商务五个本科专业，财务管理本科专业和国际商务专科专业两个中瑞合作办学项目，有工商管理一级学科硕士点，有会计学、企业管理两个二级学科硕士点，有会计硕士（Mpacc）、资产评估硕士两个专业硕士点，其中会计学硕士点是我校第一个非理工类硕士点。会计学本科专业为山东省特色专业。学院具有教师专业技术职务的教师72人。有教授11人，副教授25人，博士22人，硕士生导师26名。学院在校全日制本专科生2000余名，全日制研究生162人。 </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学院拥有建筑面积达1800多平方米的商务与管理实践中心。中心下设企业生产运营模拟厅、国际商贸模拟厅、证券期货模拟厅、商业银行模拟厅、创业智力孵化厅、多功能厅等6个功能厅及2个手工模拟实验室，拥有价值530多万元的仪器设备，各类财务会计、营销、企业管理、电子商务、物流管理等教学及管理软件38套、可进行38项实习和实训，可以同时容纳280名学生进行实验实习。中心既能满足本科教学需要，也能满足研究生教学及科学研究的需要，商务与管理实践中心获校实验示范中心建设项目。2015年投入110万元建成管理科学行为实验室。学院图书资料室藏书一万余册；期刊资料室藏有各类学术期刊近百种，可以提供各专业的学术动态和信息，能够满足师生的学习与科研需要。 </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近年来，学院教学及科研成果丰硕。会计学专业核心课程获省级精品课程群。积极参与名校工程建设，成功申报创新课程体系建设项目1项，特色教材建设项目17本，教改研究项目9项，实验实习实践教学体系创新项目1项，实验教学示范中心建设项目1项。会计学获校“优秀教学团队”； 5名教师入选山东省首期高端会计人才（学术类）培养工程；1名教师入选青岛市会计领军（后备）人才；1名教师在首届山东省高校青年教师教学竞赛中获三等奖； 2名教师在首届山东省高校教师微课教学比赛中获二等奖、优秀奖，校内一等奖。1名教师被评为青岛市教学名师，1名教师被评为青岛理工大学教学名师，1名教师获我校十大优秀教师。2016年云乐鑫博士所申请的国家自然科学基金青年基金项目已获得国家自然科学基金委员会的资助批准；获批3项教育部课题，省级课题5项，市厅级课题15项，到位纵向经费30余万元，横向课题20余项，实到经费30余万元；获得省优秀社会科学成果二、三等奖各一项，发表论文100多篇，出版专著教材6本，获得省市级奖励19项，学院于2015年荣获校“科研突出贡献奖”。 </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学院先后荣获“山东省女职工建功立业标兵岗”、“青岛市工人先锋号”和“青岛市职工职业道德建设先进单位”；连续荣获校“三育人”先进集体和校工会工作优秀分会荣誉称号；学院基层党组织的主题党日活动“培育学习型党组织，不断提升内涵建设，争做兴校强校先锋”获山东高校基层党支部活动创新案例二等奖；学院网站获青岛理工大学十大优秀网站。一名教师荣获“第六届全国高校辅导员年度人物提名奖”；一名教师荣获山东省“三八红旗手”；两名教师获“山东省高校思想政治教育工作先进个人”；一名教师荣获“山东高校科教兴鲁先锋共产党员”；两名教师被评为校“十大师德标兵”。 </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学生教育管理服务效果显著，获批山东高校辅导员名师工作室，学生团体（或班级）与个人获省级及以上荣誉800多项。学院多次荣获“学生德育工作一等奖”、“年度就业工作先进集体一等奖”、“年度就业工作进步奖”等奖项。广泛组织了大学生科技创新活动，开展了丰富多彩的校园文化活动，促进学生全面发展。近三年学院学生组队或参与获得创青春全国大学生创业大赛全国铜奖1项、山东省铜奖2项、第十三届挑战杯大学生课外科技作品竞赛山东省三等奖1项；全国大学生数学建模竞赛国家二等奖2项、省级一等奖4项、二等奖4项；全国大学生英语竞赛一等奖2项、二等奖8项、三等奖15项；全国大学生电子商务“创新、创意及创业”挑战赛国家二等奖1项、山东省特等奖1项、一等奖5项、二等奖3项、三等奖5项；第5届全国高等院校企业竞争模拟大赛三等奖1项、第13届全国MBA培养院校企业竞争模拟大赛一等奖1项；全国高校商业精英挑战赛商业信息化创新创业竞赛中或国家二等奖1项、山东省一等奖1项、二等奖1项；“大智慧杯”全国大学生金融精英挑战赛国家三等奖4项。学院社团---扬帆社入选“百佳全国大学生理论学习社团”；以商学院学生为主的校啦啦操队荣获全国学生啦啦操锦标赛爵士舞蹈项目亚军；一名同学在2015年“跟谁学</w:t>
      </w:r>
      <w:r>
        <w:rPr>
          <w:rFonts w:ascii="宋体" w:hAnsi="宋体" w:cs="宋体"/>
          <w:kern w:val="0"/>
          <w:sz w:val="24"/>
        </w:rPr>
        <w:t>——</w:t>
      </w:r>
      <w:r>
        <w:rPr>
          <w:rFonts w:hint="eastAsia" w:ascii="宋体" w:hAnsi="宋体" w:cs="宋体"/>
          <w:kern w:val="0"/>
          <w:sz w:val="24"/>
        </w:rPr>
        <w:t xml:space="preserve"> 赢在校园”职场精英挑战赛荣获全国冠军。</w:t>
      </w:r>
    </w:p>
    <w:p>
      <w:pPr>
        <w:widowControl/>
        <w:spacing w:line="360" w:lineRule="auto"/>
        <w:ind w:firstLine="480" w:firstLineChars="200"/>
        <w:jc w:val="left"/>
        <w:rPr>
          <w:rFonts w:hint="eastAsia" w:ascii="宋体" w:hAnsi="宋体" w:cs="宋体"/>
          <w:kern w:val="0"/>
          <w:sz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b/>
        <w:szCs w:val="21"/>
      </w:rPr>
    </w:pPr>
    <w:r>
      <w:rPr>
        <w:b/>
        <w:sz w:val="32"/>
        <w:szCs w:val="32"/>
      </w:rPr>
      <w:drawing>
        <wp:inline distT="0" distB="0" distL="114300" distR="114300">
          <wp:extent cx="457200" cy="457835"/>
          <wp:effectExtent l="0" t="0" r="0" b="18415"/>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pic:cNvPicPr>
                </pic:nvPicPr>
                <pic:blipFill>
                  <a:blip r:embed="rId1"/>
                  <a:stretch>
                    <a:fillRect/>
                  </a:stretch>
                </pic:blipFill>
                <pic:spPr>
                  <a:xfrm>
                    <a:off x="0" y="0"/>
                    <a:ext cx="457200" cy="457835"/>
                  </a:xfrm>
                  <a:prstGeom prst="rect">
                    <a:avLst/>
                  </a:prstGeom>
                  <a:noFill/>
                  <a:ln w="9525">
                    <a:noFill/>
                  </a:ln>
                </pic:spPr>
              </pic:pic>
            </a:graphicData>
          </a:graphic>
        </wp:inline>
      </w:drawing>
    </w:r>
    <w:r>
      <w:rPr>
        <w:rFonts w:hint="eastAsia"/>
        <w:b/>
        <w:sz w:val="32"/>
        <w:szCs w:val="32"/>
      </w:rPr>
      <w:t xml:space="preserve">  </w:t>
    </w:r>
    <w:r>
      <w:rPr>
        <w:rFonts w:hint="eastAsia"/>
        <w:b/>
        <w:szCs w:val="21"/>
      </w:rPr>
      <w:t>青岛理工大学商学院</w:t>
    </w:r>
    <w:r>
      <w:rPr>
        <w:b/>
        <w:szCs w:val="21"/>
      </w:rPr>
      <w:t>20</w:t>
    </w:r>
    <w:r>
      <w:rPr>
        <w:rFonts w:hint="eastAsia"/>
        <w:b/>
        <w:szCs w:val="21"/>
      </w:rPr>
      <w:t>17</w:t>
    </w:r>
    <w:r>
      <w:rPr>
        <w:b/>
        <w:szCs w:val="21"/>
      </w:rPr>
      <w:t>届</w:t>
    </w:r>
    <w:r>
      <w:rPr>
        <w:rFonts w:hint="eastAsia"/>
        <w:b/>
        <w:szCs w:val="21"/>
      </w:rPr>
      <w:t>工商管理类</w:t>
    </w:r>
    <w:r>
      <w:rPr>
        <w:b/>
        <w:szCs w:val="21"/>
      </w:rPr>
      <w:t>毕业生</w:t>
    </w:r>
    <w:r>
      <w:rPr>
        <w:rFonts w:hint="eastAsia"/>
        <w:b/>
        <w:szCs w:val="21"/>
      </w:rPr>
      <w:t>春季</w:t>
    </w:r>
    <w:r>
      <w:rPr>
        <w:b/>
        <w:szCs w:val="21"/>
      </w:rPr>
      <w:t>双选会邀请函</w:t>
    </w:r>
  </w:p>
  <w:p>
    <w:pPr>
      <w:pStyle w:val="3"/>
      <w:jc w:val="both"/>
      <w:rPr>
        <w:rFonts w:hint="eastAsia"/>
        <w:sz w:val="21"/>
        <w:szCs w:val="21"/>
      </w:rPr>
    </w:pPr>
    <w:r>
      <w:rPr>
        <w:rFonts w:hint="eastAsia"/>
        <w:b/>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43BEE"/>
    <w:rsid w:val="11D43B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2017-03-16T02:07:00Z</dcterms:created>
  <dc:creator>Administrator</dc:creator>
  <cp:lastModifiedBy>Administrator</cp:lastModifiedBy>
  <dcterms:modified xsi:type="dcterms:W3CDTF">2017-03-16T02:09:25Z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